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78" w:rsidRPr="003F6CE3" w:rsidRDefault="009019A7" w:rsidP="00430D04">
      <w:pPr>
        <w:pStyle w:val="stbilgi"/>
        <w:ind w:left="-851"/>
        <w:jc w:val="right"/>
        <w:rPr>
          <w:b/>
          <w:u w:val="single"/>
        </w:rPr>
      </w:pPr>
      <w:r>
        <w:t>EK.</w:t>
      </w:r>
      <w:r w:rsidR="005523D4" w:rsidRPr="003F6CE3">
        <w:t>3</w:t>
      </w:r>
      <w:bookmarkStart w:id="0" w:name="_GoBack"/>
      <w:bookmarkEnd w:id="0"/>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proofErr w:type="gramStart"/>
            <w:r w:rsidRPr="003F6CE3">
              <w:t>ADRESİ</w:t>
            </w:r>
            <w:r w:rsidR="00404D85">
              <w:t xml:space="preserve">         </w:t>
            </w:r>
            <w:r w:rsidR="00B14C38">
              <w:t xml:space="preserve"> </w:t>
            </w:r>
            <w:r w:rsidR="00404D85">
              <w:t xml:space="preserve"> </w:t>
            </w:r>
            <w:r w:rsidRPr="003F6CE3">
              <w:t>:</w:t>
            </w:r>
            <w:proofErr w:type="gramEnd"/>
          </w:p>
          <w:p w:rsidR="00404D85" w:rsidRDefault="00404D85" w:rsidP="00635E48">
            <w:pPr>
              <w:jc w:val="both"/>
            </w:pPr>
          </w:p>
          <w:p w:rsidR="00127278" w:rsidRPr="003F6CE3" w:rsidRDefault="00127278" w:rsidP="00635E48">
            <w:pPr>
              <w:jc w:val="both"/>
            </w:pPr>
            <w:r w:rsidRPr="003F6CE3">
              <w:t xml:space="preserve">TELEFON </w:t>
            </w:r>
            <w:proofErr w:type="gramStart"/>
            <w:r w:rsidRPr="003F6CE3">
              <w:t>NO</w:t>
            </w:r>
            <w:r w:rsidR="00B14C38">
              <w:t xml:space="preserve"> </w:t>
            </w:r>
            <w:r w:rsidRPr="003F6CE3">
              <w:t>:</w:t>
            </w:r>
            <w:proofErr w:type="gramEnd"/>
          </w:p>
          <w:p w:rsidR="00127278" w:rsidRPr="003F6CE3" w:rsidRDefault="00127278" w:rsidP="00404D85">
            <w:pPr>
              <w:jc w:val="both"/>
            </w:pPr>
            <w:r w:rsidRPr="003F6CE3">
              <w:t xml:space="preserve">KAYIT </w:t>
            </w:r>
            <w:proofErr w:type="gramStart"/>
            <w:r w:rsidRPr="003F6CE3">
              <w:t>NO</w:t>
            </w:r>
            <w:r w:rsidR="00B14C38">
              <w:t xml:space="preserve">      </w:t>
            </w:r>
            <w:r w:rsidRPr="003F6CE3">
              <w:t>:</w:t>
            </w:r>
            <w:proofErr w:type="gramEnd"/>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w:t>
            </w:r>
            <w:proofErr w:type="spellStart"/>
            <w:r w:rsidRPr="003F6CE3">
              <w:t>bombaj</w:t>
            </w:r>
            <w:proofErr w:type="spellEnd"/>
            <w:r w:rsidRPr="003F6CE3">
              <w:t xml:space="preserve">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6.Gıda maddeleri, </w:t>
            </w:r>
            <w:proofErr w:type="spellStart"/>
            <w:r w:rsidRPr="003F6CE3">
              <w:t>toksik</w:t>
            </w:r>
            <w:proofErr w:type="spellEnd"/>
            <w:r w:rsidRPr="003F6CE3">
              <w:t xml:space="preserve">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7.Gıda atığı ve diğer atıkların birikmelerini engelleyecek şekilde, gıdanın bulunduğu </w:t>
            </w:r>
            <w:proofErr w:type="gramStart"/>
            <w:r w:rsidRPr="003F6CE3">
              <w:t>mekanlardan</w:t>
            </w:r>
            <w:proofErr w:type="gramEnd"/>
            <w:r w:rsidRPr="003F6CE3">
              <w:t xml:space="preserve">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 xml:space="preserve">1.İşletmelerde çalışan kişiler temizlik ve </w:t>
            </w:r>
            <w:proofErr w:type="gramStart"/>
            <w:r w:rsidRPr="007C562C">
              <w:t>hijyen</w:t>
            </w:r>
            <w:proofErr w:type="gramEnd"/>
            <w:r w:rsidRPr="007C562C">
              <w:t xml:space="preserve">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7.Gıdalarla taşınması ihtimali olan bir hastalığı olan veya bulaşıcı yara, deri </w:t>
            </w:r>
            <w:proofErr w:type="gramStart"/>
            <w:r w:rsidRPr="003F6CE3">
              <w:rPr>
                <w:rFonts w:eastAsia="ヒラギノ明朝 Pro W3"/>
              </w:rPr>
              <w:t>enfeksiyonları</w:t>
            </w:r>
            <w:proofErr w:type="gramEnd"/>
            <w:r w:rsidRPr="003F6CE3">
              <w:rPr>
                <w:rFonts w:eastAsia="ヒラギノ明朝 Pro W3"/>
              </w:rPr>
              <w:t xml:space="preserve">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8.Depolama, üretim ve hazırlık alanlarına yetkili personel dışında girebilecek tüm kişilerin </w:t>
            </w:r>
            <w:proofErr w:type="gramStart"/>
            <w:r w:rsidRPr="003F6CE3">
              <w:rPr>
                <w:rFonts w:eastAsia="ヒラギノ明朝 Pro W3"/>
              </w:rPr>
              <w:t>hijyen</w:t>
            </w:r>
            <w:proofErr w:type="gramEnd"/>
            <w:r w:rsidRPr="003F6CE3">
              <w:rPr>
                <w:rFonts w:eastAsia="ヒラギノ明朝 Pro W3"/>
              </w:rPr>
              <w:t xml:space="preserve">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 xml:space="preserve">5 Temmuz 2013 tarihli ve 28698 sayılı Resmî </w:t>
            </w:r>
            <w:proofErr w:type="spellStart"/>
            <w:r w:rsidRPr="003F6CE3">
              <w:t>Gazete’de</w:t>
            </w:r>
            <w:proofErr w:type="spellEnd"/>
            <w:r w:rsidRPr="003F6CE3">
              <w:t xml:space="preserv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enstitülerinden </w:t>
            </w:r>
            <w:proofErr w:type="gramStart"/>
            <w:r w:rsidR="002A2C57">
              <w:rPr>
                <w:rFonts w:eastAsia="ヒラギノ明朝 Pro W3"/>
              </w:rPr>
              <w:t>hij</w:t>
            </w:r>
            <w:r w:rsidRPr="003F6CE3">
              <w:rPr>
                <w:rFonts w:eastAsia="ヒラギノ明朝 Pro W3"/>
              </w:rPr>
              <w:t>yen</w:t>
            </w:r>
            <w:proofErr w:type="gramEnd"/>
            <w:r w:rsidRPr="003F6CE3">
              <w:rPr>
                <w:rFonts w:eastAsia="ヒラギノ明朝 Pro W3"/>
              </w:rPr>
              <w:t xml:space="preserve">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1.Kullanılan tüm </w:t>
            </w:r>
            <w:proofErr w:type="gramStart"/>
            <w:r w:rsidRPr="003F6CE3">
              <w:rPr>
                <w:rFonts w:eastAsia="ヒラギノ明朝 Pro W3"/>
              </w:rPr>
              <w:t>ekipmanın</w:t>
            </w:r>
            <w:proofErr w:type="gramEnd"/>
            <w:r w:rsidRPr="003F6CE3">
              <w:rPr>
                <w:rFonts w:eastAsia="ヒラギノ明朝 Pro W3"/>
              </w:rPr>
              <w:t>,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lastRenderedPageBreak/>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3.Kullanılan her türlü malzeme ve </w:t>
            </w:r>
            <w:proofErr w:type="gramStart"/>
            <w:r w:rsidRPr="003F6CE3">
              <w:rPr>
                <w:rFonts w:eastAsia="ヒラギノ明朝 Pro W3"/>
              </w:rPr>
              <w:t>ekipman</w:t>
            </w:r>
            <w:proofErr w:type="gramEnd"/>
            <w:r w:rsidRPr="003F6CE3">
              <w:rPr>
                <w:rFonts w:eastAsia="ヒラギノ明朝 Pro W3"/>
              </w:rPr>
              <w:t>,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4.Kullanılan her türlü </w:t>
            </w:r>
            <w:proofErr w:type="gramStart"/>
            <w:r w:rsidRPr="003F6CE3">
              <w:rPr>
                <w:rFonts w:eastAsia="ヒラギノ明朝 Pro W3"/>
              </w:rPr>
              <w:t>ekipmanın</w:t>
            </w:r>
            <w:proofErr w:type="gramEnd"/>
            <w:r w:rsidRPr="003F6CE3">
              <w:rPr>
                <w:rFonts w:eastAsia="ヒラギノ明朝 Pro W3"/>
              </w:rPr>
              <w:t xml:space="preserve">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5.İşyerlerinde kullanılan </w:t>
            </w:r>
            <w:proofErr w:type="spellStart"/>
            <w:r w:rsidRPr="003F6CE3">
              <w:rPr>
                <w:rFonts w:eastAsia="ヒラギノ明朝 Pro W3"/>
              </w:rPr>
              <w:t>bıçaklık</w:t>
            </w:r>
            <w:proofErr w:type="spellEnd"/>
            <w:r w:rsidRPr="003F6CE3">
              <w:rPr>
                <w:rFonts w:eastAsia="ヒラギノ明朝 Pro W3"/>
              </w:rPr>
              <w:t xml:space="preserve">, bıçakların sapları tahta malzemeden olmalı, bıçaklar kullanılmadıkları zaman, </w:t>
            </w:r>
            <w:proofErr w:type="spellStart"/>
            <w:r w:rsidRPr="003F6CE3">
              <w:rPr>
                <w:rFonts w:eastAsia="ヒラギノ明朝 Pro W3"/>
              </w:rPr>
              <w:t>bıçaklıklarda</w:t>
            </w:r>
            <w:proofErr w:type="spellEnd"/>
            <w:r w:rsidRPr="003F6CE3">
              <w:rPr>
                <w:rFonts w:eastAsia="ヒラギノ明朝 Pro W3"/>
              </w:rPr>
              <w:t xml:space="preserve"> bekletilmeli, </w:t>
            </w:r>
            <w:proofErr w:type="spellStart"/>
            <w:r w:rsidRPr="003F6CE3">
              <w:rPr>
                <w:rFonts w:eastAsia="ヒラギノ明朝 Pro W3"/>
              </w:rPr>
              <w:t>bıçaklığa</w:t>
            </w:r>
            <w:proofErr w:type="spellEnd"/>
            <w:r w:rsidRPr="003F6CE3">
              <w:rPr>
                <w:rFonts w:eastAsia="ヒラギノ明朝 Pro W3"/>
              </w:rPr>
              <w:t xml:space="preserve">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w:t>
            </w:r>
            <w:proofErr w:type="gramStart"/>
            <w:r w:rsidRPr="003F6CE3">
              <w:rPr>
                <w:rFonts w:eastAsia="ヒラギノ明朝 Pro W3"/>
              </w:rPr>
              <w:t>dezenfekte</w:t>
            </w:r>
            <w:proofErr w:type="gramEnd"/>
            <w:r w:rsidRPr="003F6CE3">
              <w:rPr>
                <w:rFonts w:eastAsia="ヒラギノ明朝 Pro W3"/>
              </w:rPr>
              <w:t xml:space="preserv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7.Tost makinesi, ızgara gibi </w:t>
            </w:r>
            <w:proofErr w:type="gramStart"/>
            <w:r w:rsidRPr="003F6CE3">
              <w:rPr>
                <w:rFonts w:eastAsia="ヒラギノ明朝 Pro W3"/>
              </w:rPr>
              <w:t>ekipmanın</w:t>
            </w:r>
            <w:proofErr w:type="gramEnd"/>
            <w:r w:rsidRPr="003F6CE3">
              <w:rPr>
                <w:rFonts w:eastAsia="ヒラギノ明朝 Pro W3"/>
              </w:rPr>
              <w:t xml:space="preserve">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1.Tuvaletler, gıdaların hazırlandığı odalara doğrudan açık olmamalı ve </w:t>
            </w:r>
            <w:proofErr w:type="gramStart"/>
            <w:r w:rsidRPr="003F6CE3">
              <w:rPr>
                <w:rFonts w:eastAsia="ヒラギノ明朝 Pro W3"/>
              </w:rPr>
              <w:t>hijyen</w:t>
            </w:r>
            <w:proofErr w:type="gramEnd"/>
            <w:r w:rsidRPr="003F6CE3">
              <w:rPr>
                <w:rFonts w:eastAsia="ヒラギノ明朝 Pro W3"/>
              </w:rPr>
              <w:t xml:space="preserve">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2.Yeterli bakım, temizlik ve/veya dezenfeksiyona izin veren, çevreden ve işletmeden kaynaklanan bulaşmayı engelleyen veya en aza indiren ve bütün işlemler için </w:t>
            </w:r>
            <w:proofErr w:type="gramStart"/>
            <w:r w:rsidRPr="003F6CE3">
              <w:rPr>
                <w:rFonts w:eastAsia="ヒラギノ明朝 Pro W3"/>
              </w:rPr>
              <w:t>hijyenik</w:t>
            </w:r>
            <w:proofErr w:type="gramEnd"/>
            <w:r w:rsidRPr="003F6CE3">
              <w:rPr>
                <w:rFonts w:eastAsia="ヒラギノ明朝 Pro W3"/>
              </w:rPr>
              <w:t xml:space="preserve">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3.Gıda işletmesinde üretim ve hazırlık alanlarının girişlerinde </w:t>
            </w:r>
            <w:proofErr w:type="gramStart"/>
            <w:r w:rsidRPr="003F6CE3">
              <w:rPr>
                <w:rFonts w:eastAsia="ヒラギノ明朝 Pro W3"/>
              </w:rPr>
              <w:t>hijyen</w:t>
            </w:r>
            <w:proofErr w:type="gramEnd"/>
            <w:r w:rsidRPr="003F6CE3">
              <w:rPr>
                <w:rFonts w:eastAsia="ヒラギノ明朝 Pro W3"/>
              </w:rPr>
              <w:t xml:space="preserve">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 xml:space="preserve">5.Kullanılan kaplar iş bitiminde iyice temizlenmeli ve </w:t>
            </w:r>
            <w:proofErr w:type="gramStart"/>
            <w:r w:rsidRPr="003F6CE3">
              <w:rPr>
                <w:rFonts w:eastAsia="ヒラギノ明朝 Pro W3"/>
              </w:rPr>
              <w:t>dezenfekte</w:t>
            </w:r>
            <w:proofErr w:type="gramEnd"/>
            <w:r w:rsidRPr="003F6CE3">
              <w:rPr>
                <w:rFonts w:eastAsia="ヒラギノ明朝 Pro W3"/>
              </w:rPr>
              <w:t xml:space="preserv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3544"/>
        <w:gridCol w:w="2835"/>
        <w:gridCol w:w="992"/>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 xml:space="preserve">3.Gıdalar temiz ve </w:t>
            </w:r>
            <w:proofErr w:type="gramStart"/>
            <w:r w:rsidRPr="003F6CE3">
              <w:rPr>
                <w:rFonts w:eastAsia="ヒラギノ明朝 Pro W3"/>
              </w:rPr>
              <w:t>hijyen</w:t>
            </w:r>
            <w:proofErr w:type="gramEnd"/>
            <w:r w:rsidRPr="003F6CE3">
              <w:rPr>
                <w:rFonts w:eastAsia="ヒラギノ明朝 Pro W3"/>
              </w:rPr>
              <w:t xml:space="preserve">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7.Depolarda gıda taşınmasına uygun plastik malzemeden yapılmış ve kolayca temizlenebilir, </w:t>
            </w:r>
            <w:proofErr w:type="gramStart"/>
            <w:r w:rsidRPr="003F6CE3">
              <w:rPr>
                <w:rFonts w:eastAsia="ヒラギノ明朝 Pro W3"/>
              </w:rPr>
              <w:t>dezenfekte</w:t>
            </w:r>
            <w:proofErr w:type="gramEnd"/>
            <w:r w:rsidRPr="003F6CE3">
              <w:rPr>
                <w:rFonts w:eastAsia="ヒラギノ明朝 Pro W3"/>
              </w:rPr>
              <w:t xml:space="preserv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14.Gıda ve gıda ile temasta bulunan madde ve malzemeler temiz ve </w:t>
            </w:r>
            <w:proofErr w:type="gramStart"/>
            <w:r w:rsidRPr="003F6CE3">
              <w:rPr>
                <w:rFonts w:eastAsia="ヒラギノ明朝 Pro W3"/>
              </w:rPr>
              <w:t>hijyen</w:t>
            </w:r>
            <w:proofErr w:type="gramEnd"/>
            <w:r w:rsidRPr="003F6CE3">
              <w:rPr>
                <w:rFonts w:eastAsia="ヒラギノ明朝 Pro W3"/>
              </w:rPr>
              <w:t xml:space="preserve">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1.Gıdaların hazırlamasında çalışan personelin mikrobiyolojik bulaşmayı engelleyecek şekilde kişisel </w:t>
            </w:r>
            <w:proofErr w:type="gramStart"/>
            <w:r w:rsidRPr="003F6CE3">
              <w:rPr>
                <w:rFonts w:eastAsia="ヒラギノ明朝 Pro W3"/>
              </w:rPr>
              <w:t>hijyen</w:t>
            </w:r>
            <w:proofErr w:type="gramEnd"/>
            <w:r w:rsidRPr="003F6CE3">
              <w:rPr>
                <w:rFonts w:eastAsia="ヒラギノ明朝 Pro W3"/>
              </w:rPr>
              <w:t xml:space="preserve">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2.Çapraz bulaşmayı önleyici iş akışları hazırlanmalı ve uygulanmalıdır. Çiğ ve tüketime hazır hale getirilmiş gıda maddelerinin ayrı alanlarda ve ayrı </w:t>
            </w:r>
            <w:proofErr w:type="gramStart"/>
            <w:r w:rsidRPr="003F6CE3">
              <w:rPr>
                <w:rFonts w:eastAsia="ヒラギノ明朝 Pro W3"/>
              </w:rPr>
              <w:t>ekipmanlarla</w:t>
            </w:r>
            <w:proofErr w:type="gramEnd"/>
            <w:r w:rsidRPr="003F6CE3">
              <w:rPr>
                <w:rFonts w:eastAsia="ヒラギノ明朝 Pro W3"/>
              </w:rPr>
              <w:t xml:space="preserve">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Default="00127278" w:rsidP="00635E48">
            <w:pPr>
              <w:jc w:val="center"/>
            </w:pPr>
          </w:p>
          <w:p w:rsidR="00746FAF" w:rsidRDefault="00746FAF" w:rsidP="00635E48">
            <w:pPr>
              <w:jc w:val="center"/>
            </w:pPr>
          </w:p>
          <w:p w:rsidR="00746FAF" w:rsidRPr="003F6CE3" w:rsidRDefault="00746FAF"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9.Çözünme işlemi, gıdada </w:t>
            </w:r>
            <w:proofErr w:type="spellStart"/>
            <w:r w:rsidRPr="003F6CE3">
              <w:rPr>
                <w:rFonts w:eastAsia="ヒラギノ明朝 Pro W3"/>
              </w:rPr>
              <w:t>patojenik</w:t>
            </w:r>
            <w:proofErr w:type="spellEnd"/>
            <w:r w:rsidRPr="003F6CE3">
              <w:rPr>
                <w:rFonts w:eastAsia="ヒラギノ明朝 Pro W3"/>
              </w:rPr>
              <w:t xml:space="preserve">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w:t>
            </w:r>
            <w:r w:rsidR="00F83224">
              <w:rPr>
                <w:rFonts w:eastAsia="ヒラギノ明朝 Pro W3"/>
              </w:rPr>
              <w:t>itli kaynaklardan gelecek bulaşma</w:t>
            </w:r>
            <w:r w:rsidRPr="003F6CE3">
              <w:rPr>
                <w:rFonts w:eastAsia="ヒラギノ明朝 Pro W3"/>
              </w:rPr>
              <w:t>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2.Gıdaların soğuk ortamda muhafaza edilmesi halinde öncelikli olarak o gıda için tavsiye edilen sıcaklık </w:t>
            </w:r>
            <w:r w:rsidRPr="003F6CE3">
              <w:rPr>
                <w:rFonts w:eastAsia="ヒラギノ明朝 Pro W3"/>
              </w:rPr>
              <w:lastRenderedPageBreak/>
              <w:t>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8.Gıdaların sergilenmesi, satışı ve tüketimi sırasında kullanılan masa, </w:t>
            </w:r>
            <w:proofErr w:type="gramStart"/>
            <w:r w:rsidRPr="003F6CE3">
              <w:rPr>
                <w:rFonts w:eastAsia="ヒラギノ明朝 Pro W3"/>
              </w:rPr>
              <w:t>tezgah</w:t>
            </w:r>
            <w:proofErr w:type="gramEnd"/>
            <w:r w:rsidRPr="003F6CE3">
              <w:rPr>
                <w:rFonts w:eastAsia="ヒラギノ明朝 Pro W3"/>
              </w:rPr>
              <w:t xml:space="preserve">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9.Gıda servisinin yapıldığı alanda çalışan personelin </w:t>
            </w:r>
            <w:proofErr w:type="gramStart"/>
            <w:r w:rsidRPr="003F6CE3">
              <w:rPr>
                <w:rFonts w:eastAsia="ヒラギノ明朝 Pro W3"/>
              </w:rPr>
              <w:t>hijyen</w:t>
            </w:r>
            <w:proofErr w:type="gramEnd"/>
            <w:r w:rsidRPr="003F6CE3">
              <w:rPr>
                <w:rFonts w:eastAsia="ヒラギノ明朝 Pro W3"/>
              </w:rPr>
              <w:t xml:space="preserve">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w:t>
            </w:r>
            <w:proofErr w:type="gramStart"/>
            <w:r w:rsidRPr="003F6CE3">
              <w:rPr>
                <w:rFonts w:eastAsia="ヒラギノ明朝 Pro W3"/>
              </w:rPr>
              <w:t>ekipmanlar</w:t>
            </w:r>
            <w:proofErr w:type="gramEnd"/>
            <w:r w:rsidRPr="003F6CE3">
              <w:rPr>
                <w:rFonts w:eastAsia="ヒラギノ明朝 Pro W3"/>
              </w:rPr>
              <w:t xml:space="preserve">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tc>
      </w:tr>
      <w:tr w:rsidR="00746FAF" w:rsidRPr="003F6CE3" w:rsidTr="00746FAF">
        <w:trPr>
          <w:trHeight w:val="1965"/>
          <w:jc w:val="center"/>
        </w:trPr>
        <w:tc>
          <w:tcPr>
            <w:tcW w:w="1427" w:type="dxa"/>
            <w:tcBorders>
              <w:top w:val="single" w:sz="4" w:space="0" w:color="auto"/>
              <w:left w:val="single" w:sz="4" w:space="0" w:color="auto"/>
              <w:bottom w:val="single" w:sz="4" w:space="0" w:color="auto"/>
              <w:right w:val="single" w:sz="4" w:space="0" w:color="auto"/>
            </w:tcBorders>
          </w:tcPr>
          <w:p w:rsidR="00746FAF" w:rsidRPr="003F6CE3" w:rsidRDefault="00746FAF" w:rsidP="00635E48">
            <w:r w:rsidRPr="003F6CE3">
              <w:t>Kontrol ve Denetim Tarihi:</w:t>
            </w:r>
          </w:p>
        </w:tc>
        <w:tc>
          <w:tcPr>
            <w:tcW w:w="3544" w:type="dxa"/>
            <w:tcBorders>
              <w:top w:val="single" w:sz="4" w:space="0" w:color="auto"/>
              <w:left w:val="single" w:sz="4" w:space="0" w:color="auto"/>
              <w:bottom w:val="single" w:sz="4" w:space="0" w:color="auto"/>
              <w:right w:val="single" w:sz="4" w:space="0" w:color="auto"/>
            </w:tcBorders>
          </w:tcPr>
          <w:p w:rsidR="00746FAF" w:rsidRPr="003F6CE3" w:rsidRDefault="00746FAF" w:rsidP="00635E48">
            <w:pPr>
              <w:tabs>
                <w:tab w:val="left" w:pos="566"/>
              </w:tabs>
              <w:spacing w:line="240" w:lineRule="exact"/>
              <w:rPr>
                <w:rFonts w:eastAsia="ヒラギノ明朝 Pro W3"/>
              </w:rPr>
            </w:pPr>
            <w:r w:rsidRPr="003F6CE3">
              <w:rPr>
                <w:rFonts w:eastAsia="ヒラギノ明朝 Pro W3"/>
              </w:rPr>
              <w:t>Denetleyenin Adı/Soyadı</w:t>
            </w:r>
          </w:p>
          <w:p w:rsidR="00746FAF" w:rsidRDefault="00746FAF"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746FAF" w:rsidRDefault="00746FAF" w:rsidP="00635E48">
            <w:pPr>
              <w:tabs>
                <w:tab w:val="left" w:pos="566"/>
              </w:tabs>
              <w:spacing w:line="240" w:lineRule="exact"/>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Pr="00251112" w:rsidRDefault="00746FAF" w:rsidP="00746FAF">
            <w:pPr>
              <w:tabs>
                <w:tab w:val="left" w:pos="566"/>
              </w:tabs>
              <w:spacing w:line="240" w:lineRule="exact"/>
              <w:jc w:val="center"/>
              <w:rPr>
                <w:rFonts w:eastAsia="ヒラギノ明朝 Pro W3"/>
                <w:b/>
              </w:rPr>
            </w:pPr>
            <w:r w:rsidRPr="00251112">
              <w:rPr>
                <w:rFonts w:eastAsia="ヒラギノ明朝 Pro W3"/>
                <w:b/>
              </w:rPr>
              <w:t>Müdür Yardımcısı</w:t>
            </w: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Pr="003F6CE3" w:rsidRDefault="00746FAF" w:rsidP="00746FAF">
            <w:pPr>
              <w:tabs>
                <w:tab w:val="left" w:pos="566"/>
              </w:tabs>
              <w:spacing w:line="240" w:lineRule="exact"/>
              <w:rPr>
                <w:rFonts w:eastAsia="ヒラギノ明朝 Pro W3"/>
              </w:rPr>
            </w:pPr>
            <w:r w:rsidRPr="003F6CE3">
              <w:rPr>
                <w:rFonts w:eastAsia="ヒラギノ明朝 Pro W3"/>
              </w:rPr>
              <w:t>Denetleyenin Adı/Soyadı</w:t>
            </w:r>
          </w:p>
          <w:p w:rsidR="00746FAF" w:rsidRDefault="00746FAF" w:rsidP="00746FAF">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746FAF" w:rsidRDefault="00746FAF" w:rsidP="00746FAF">
            <w:pPr>
              <w:tabs>
                <w:tab w:val="left" w:pos="566"/>
              </w:tabs>
              <w:spacing w:line="240" w:lineRule="exact"/>
              <w:rPr>
                <w:rFonts w:eastAsia="ヒラギノ明朝 Pro W3"/>
              </w:rPr>
            </w:pPr>
          </w:p>
          <w:p w:rsidR="00746FAF" w:rsidRDefault="00746FAF" w:rsidP="00746FAF">
            <w:pPr>
              <w:tabs>
                <w:tab w:val="left" w:pos="566"/>
              </w:tabs>
              <w:spacing w:line="240" w:lineRule="exact"/>
              <w:jc w:val="center"/>
              <w:rPr>
                <w:rFonts w:eastAsia="ヒラギノ明朝 Pro W3"/>
              </w:rPr>
            </w:pPr>
          </w:p>
          <w:p w:rsidR="00251112" w:rsidRDefault="00251112" w:rsidP="00746FAF">
            <w:pPr>
              <w:tabs>
                <w:tab w:val="left" w:pos="566"/>
              </w:tabs>
              <w:spacing w:line="240" w:lineRule="exact"/>
              <w:jc w:val="center"/>
              <w:rPr>
                <w:rFonts w:eastAsia="ヒラギノ明朝 Pro W3"/>
              </w:rPr>
            </w:pPr>
          </w:p>
          <w:p w:rsidR="00746FAF" w:rsidRPr="00251112" w:rsidRDefault="00963E89" w:rsidP="00746FAF">
            <w:pPr>
              <w:jc w:val="center"/>
              <w:rPr>
                <w:rFonts w:eastAsia="ヒラギノ明朝 Pro W3"/>
                <w:b/>
              </w:rPr>
            </w:pPr>
            <w:r>
              <w:rPr>
                <w:rFonts w:eastAsia="ヒラギノ明朝 Pro W3"/>
                <w:b/>
              </w:rPr>
              <w:t>Biyoloji</w:t>
            </w:r>
            <w:r w:rsidR="00746FAF" w:rsidRPr="00251112">
              <w:rPr>
                <w:rFonts w:eastAsia="ヒラギノ明朝 Pro W3"/>
                <w:b/>
              </w:rPr>
              <w:t xml:space="preserve"> Öğretmeni</w:t>
            </w:r>
          </w:p>
          <w:p w:rsidR="00746FAF" w:rsidRPr="003F6CE3" w:rsidRDefault="00746FAF" w:rsidP="00746FAF">
            <w:pPr>
              <w:tabs>
                <w:tab w:val="left" w:pos="566"/>
              </w:tabs>
              <w:spacing w:line="240" w:lineRule="exact"/>
              <w:jc w:val="center"/>
              <w:rPr>
                <w:rFonts w:eastAsia="ヒラギノ明朝 Pro W3"/>
              </w:rPr>
            </w:pPr>
          </w:p>
        </w:tc>
        <w:tc>
          <w:tcPr>
            <w:tcW w:w="2835" w:type="dxa"/>
            <w:tcBorders>
              <w:top w:val="single" w:sz="4" w:space="0" w:color="auto"/>
              <w:left w:val="single" w:sz="4" w:space="0" w:color="auto"/>
              <w:bottom w:val="single" w:sz="4" w:space="0" w:color="auto"/>
              <w:right w:val="single" w:sz="4" w:space="0" w:color="auto"/>
            </w:tcBorders>
          </w:tcPr>
          <w:p w:rsidR="00746FAF" w:rsidRPr="003F6CE3" w:rsidRDefault="00746FAF" w:rsidP="00746FAF">
            <w:pPr>
              <w:tabs>
                <w:tab w:val="left" w:pos="566"/>
              </w:tabs>
              <w:spacing w:line="240" w:lineRule="exact"/>
              <w:rPr>
                <w:rFonts w:eastAsia="ヒラギノ明朝 Pro W3"/>
              </w:rPr>
            </w:pPr>
            <w:r w:rsidRPr="003F6CE3">
              <w:rPr>
                <w:rFonts w:eastAsia="ヒラギノ明朝 Pro W3"/>
              </w:rPr>
              <w:t>Denetleyenin Adı/Soyadı</w:t>
            </w:r>
          </w:p>
          <w:p w:rsidR="00746FAF" w:rsidRDefault="00746FAF" w:rsidP="00746FAF">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746FAF" w:rsidRDefault="00746FAF" w:rsidP="00746FAF">
            <w:pPr>
              <w:tabs>
                <w:tab w:val="left" w:pos="566"/>
              </w:tabs>
              <w:spacing w:line="240" w:lineRule="exact"/>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Pr="00251112" w:rsidRDefault="00746FAF" w:rsidP="00746FAF">
            <w:pPr>
              <w:jc w:val="center"/>
              <w:rPr>
                <w:rFonts w:eastAsia="ヒラギノ明朝 Pro W3"/>
                <w:b/>
              </w:rPr>
            </w:pPr>
            <w:r w:rsidRPr="00251112">
              <w:rPr>
                <w:rFonts w:eastAsia="ヒラギノ明朝 Pro W3"/>
                <w:b/>
              </w:rPr>
              <w:t>Okul Aile Birliği Temsilcisi</w:t>
            </w:r>
          </w:p>
          <w:p w:rsidR="00746FAF" w:rsidRPr="00251112" w:rsidRDefault="00746FAF" w:rsidP="00746FAF">
            <w:pPr>
              <w:jc w:val="center"/>
              <w:rPr>
                <w:rFonts w:eastAsia="ヒラギノ明朝 Pro W3"/>
                <w:b/>
              </w:rPr>
            </w:pPr>
          </w:p>
          <w:p w:rsidR="00746FAF" w:rsidRDefault="00746FAF" w:rsidP="00746FAF">
            <w:pPr>
              <w:jc w:val="center"/>
              <w:rPr>
                <w:rFonts w:eastAsia="ヒラギノ明朝 Pro W3"/>
              </w:rPr>
            </w:pPr>
          </w:p>
          <w:p w:rsidR="00746FAF" w:rsidRDefault="00746FAF" w:rsidP="00746FAF">
            <w:pPr>
              <w:jc w:val="center"/>
              <w:rPr>
                <w:rFonts w:eastAsia="ヒラギノ明朝 Pro W3"/>
              </w:rPr>
            </w:pPr>
          </w:p>
          <w:p w:rsidR="00746FAF" w:rsidRDefault="00746FAF" w:rsidP="00746FAF">
            <w:pPr>
              <w:jc w:val="center"/>
              <w:rPr>
                <w:rFonts w:eastAsia="ヒラギノ明朝 Pro W3"/>
              </w:rPr>
            </w:pPr>
          </w:p>
          <w:p w:rsidR="00746FAF" w:rsidRDefault="00746FAF" w:rsidP="00746FAF">
            <w:pPr>
              <w:jc w:val="center"/>
              <w:rPr>
                <w:rFonts w:eastAsia="ヒラギノ明朝 Pro W3"/>
              </w:rPr>
            </w:pPr>
          </w:p>
          <w:p w:rsidR="00746FAF" w:rsidRDefault="00746FAF" w:rsidP="00746FAF">
            <w:pPr>
              <w:jc w:val="center"/>
              <w:rPr>
                <w:rFonts w:eastAsia="ヒラギノ明朝 Pro W3"/>
              </w:rPr>
            </w:pPr>
          </w:p>
          <w:p w:rsidR="00746FAF" w:rsidRPr="003F6CE3" w:rsidRDefault="00746FAF" w:rsidP="00746FAF">
            <w:pPr>
              <w:tabs>
                <w:tab w:val="left" w:pos="566"/>
              </w:tabs>
              <w:spacing w:line="240" w:lineRule="exact"/>
              <w:rPr>
                <w:rFonts w:eastAsia="ヒラギノ明朝 Pro W3"/>
              </w:rPr>
            </w:pPr>
            <w:r w:rsidRPr="003F6CE3">
              <w:rPr>
                <w:rFonts w:eastAsia="ヒラギノ明朝 Pro W3"/>
              </w:rPr>
              <w:t>Denetleyenin Adı/Soyadı</w:t>
            </w:r>
          </w:p>
          <w:p w:rsidR="00746FAF" w:rsidRDefault="00746FAF" w:rsidP="00746FAF">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746FAF" w:rsidRDefault="00746FAF" w:rsidP="00746FAF">
            <w:pPr>
              <w:tabs>
                <w:tab w:val="left" w:pos="566"/>
              </w:tabs>
              <w:spacing w:line="240" w:lineRule="exact"/>
              <w:rPr>
                <w:rFonts w:eastAsia="ヒラギノ明朝 Pro W3"/>
              </w:rPr>
            </w:pPr>
          </w:p>
          <w:p w:rsidR="004A5239" w:rsidRDefault="004A5239" w:rsidP="00746FAF">
            <w:pPr>
              <w:tabs>
                <w:tab w:val="left" w:pos="566"/>
              </w:tabs>
              <w:spacing w:line="240" w:lineRule="exact"/>
              <w:rPr>
                <w:rFonts w:eastAsia="ヒラギノ明朝 Pro W3"/>
              </w:rPr>
            </w:pPr>
          </w:p>
          <w:p w:rsidR="00746FAF" w:rsidRDefault="00746FAF" w:rsidP="00746FAF">
            <w:pPr>
              <w:tabs>
                <w:tab w:val="left" w:pos="566"/>
              </w:tabs>
              <w:spacing w:line="240" w:lineRule="exact"/>
              <w:jc w:val="center"/>
              <w:rPr>
                <w:rFonts w:eastAsia="ヒラギノ明朝 Pro W3"/>
              </w:rPr>
            </w:pPr>
          </w:p>
          <w:p w:rsidR="00746FAF" w:rsidRPr="003F6CE3" w:rsidRDefault="00746FAF" w:rsidP="00746FAF">
            <w:pPr>
              <w:jc w:val="center"/>
            </w:pPr>
            <w:r w:rsidRPr="00251112">
              <w:rPr>
                <w:rFonts w:eastAsia="ヒラギノ明朝 Pro W3"/>
                <w:b/>
              </w:rPr>
              <w:t>Öğrenci Temsilcisi</w:t>
            </w:r>
          </w:p>
        </w:tc>
        <w:tc>
          <w:tcPr>
            <w:tcW w:w="2983" w:type="dxa"/>
            <w:gridSpan w:val="3"/>
            <w:tcBorders>
              <w:top w:val="single" w:sz="4" w:space="0" w:color="auto"/>
              <w:left w:val="single" w:sz="4" w:space="0" w:color="auto"/>
              <w:bottom w:val="single" w:sz="4" w:space="0" w:color="auto"/>
              <w:right w:val="single" w:sz="4" w:space="0" w:color="auto"/>
            </w:tcBorders>
          </w:tcPr>
          <w:p w:rsidR="00746FAF" w:rsidRPr="003F6CE3" w:rsidRDefault="00746FAF" w:rsidP="00635E48">
            <w:r w:rsidRPr="003F6CE3">
              <w:t>Kantin Sorumlusunun Adı/Soyadı</w:t>
            </w:r>
          </w:p>
          <w:p w:rsidR="00746FAF" w:rsidRPr="003F6CE3" w:rsidRDefault="00746FAF" w:rsidP="00635E48">
            <w:proofErr w:type="spellStart"/>
            <w:r w:rsidRPr="003F6CE3">
              <w:t>Ünvanı</w:t>
            </w:r>
            <w:proofErr w:type="spellEnd"/>
            <w:r w:rsidRPr="003F6CE3">
              <w:t>/İmzası</w:t>
            </w:r>
          </w:p>
          <w:p w:rsidR="00746FAF" w:rsidRPr="003F6CE3" w:rsidRDefault="00746FAF" w:rsidP="00635E48"/>
        </w:tc>
      </w:tr>
    </w:tbl>
    <w:p w:rsidR="00961A85" w:rsidRDefault="00961A85" w:rsidP="00961A85">
      <w:pPr>
        <w:jc w:val="both"/>
      </w:pP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430D04">
      <w:footerReference w:type="even" r:id="rId9"/>
      <w:footerReference w:type="default" r:id="rId10"/>
      <w:footerReference w:type="first" r:id="rId11"/>
      <w:pgSz w:w="11906" w:h="16838"/>
      <w:pgMar w:top="709"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34" w:rsidRDefault="00187D34" w:rsidP="00914132">
      <w:r>
        <w:separator/>
      </w:r>
    </w:p>
  </w:endnote>
  <w:endnote w:type="continuationSeparator" w:id="0">
    <w:p w:rsidR="00187D34" w:rsidRDefault="00187D34"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430D04">
              <w:rPr>
                <w:b/>
                <w:noProof/>
              </w:rPr>
              <w:t>2</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430D04">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430D04">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430D04">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430D04">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34" w:rsidRDefault="00187D34" w:rsidP="00914132">
      <w:r>
        <w:separator/>
      </w:r>
    </w:p>
  </w:footnote>
  <w:footnote w:type="continuationSeparator" w:id="0">
    <w:p w:rsidR="00187D34" w:rsidRDefault="00187D34"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87D34"/>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1112"/>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0D04"/>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39"/>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150C"/>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55A54"/>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0614B"/>
    <w:rsid w:val="007102BC"/>
    <w:rsid w:val="007157D6"/>
    <w:rsid w:val="00717950"/>
    <w:rsid w:val="00720102"/>
    <w:rsid w:val="00721CE7"/>
    <w:rsid w:val="007240C8"/>
    <w:rsid w:val="007339BA"/>
    <w:rsid w:val="00742AA1"/>
    <w:rsid w:val="00745A87"/>
    <w:rsid w:val="00746FAF"/>
    <w:rsid w:val="00747837"/>
    <w:rsid w:val="007579EE"/>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2A10"/>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0739C"/>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3E89"/>
    <w:rsid w:val="00965674"/>
    <w:rsid w:val="00965D37"/>
    <w:rsid w:val="00970B7D"/>
    <w:rsid w:val="00971E1C"/>
    <w:rsid w:val="0098589C"/>
    <w:rsid w:val="009942ED"/>
    <w:rsid w:val="0099797F"/>
    <w:rsid w:val="009A29F4"/>
    <w:rsid w:val="009A3A38"/>
    <w:rsid w:val="009A5133"/>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54C8E"/>
    <w:rsid w:val="00A81528"/>
    <w:rsid w:val="00A819D8"/>
    <w:rsid w:val="00A81E78"/>
    <w:rsid w:val="00A85781"/>
    <w:rsid w:val="00A87142"/>
    <w:rsid w:val="00A87996"/>
    <w:rsid w:val="00A87C5F"/>
    <w:rsid w:val="00A91D82"/>
    <w:rsid w:val="00A926C3"/>
    <w:rsid w:val="00AA08A3"/>
    <w:rsid w:val="00AA6395"/>
    <w:rsid w:val="00AB25CF"/>
    <w:rsid w:val="00AD17DF"/>
    <w:rsid w:val="00AD74DE"/>
    <w:rsid w:val="00AD79BB"/>
    <w:rsid w:val="00AD7F57"/>
    <w:rsid w:val="00AE3C76"/>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5DE"/>
    <w:rsid w:val="00CA5B49"/>
    <w:rsid w:val="00CA5CE7"/>
    <w:rsid w:val="00CA6BC7"/>
    <w:rsid w:val="00CB70C0"/>
    <w:rsid w:val="00CB7847"/>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063F0"/>
    <w:rsid w:val="00F27189"/>
    <w:rsid w:val="00F2776C"/>
    <w:rsid w:val="00F33BE9"/>
    <w:rsid w:val="00F428E8"/>
    <w:rsid w:val="00F44EA1"/>
    <w:rsid w:val="00F546E5"/>
    <w:rsid w:val="00F557B1"/>
    <w:rsid w:val="00F568D1"/>
    <w:rsid w:val="00F77819"/>
    <w:rsid w:val="00F81763"/>
    <w:rsid w:val="00F83224"/>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6DBF6-375E-40FE-B24D-6FFE7BB3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2157</Words>
  <Characters>12300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MÜDBAŞYRD</cp:lastModifiedBy>
  <cp:revision>15</cp:revision>
  <cp:lastPrinted>2020-11-09T11:52:00Z</cp:lastPrinted>
  <dcterms:created xsi:type="dcterms:W3CDTF">2017-11-21T11:33:00Z</dcterms:created>
  <dcterms:modified xsi:type="dcterms:W3CDTF">2022-03-08T11:30:00Z</dcterms:modified>
</cp:coreProperties>
</file>